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6"/>
          <w:szCs w:val="36"/>
          <w:shd w:val="clear" w:fill="FFFFFF"/>
        </w:rPr>
        <w:t>公 告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根据工作需要，我院拟对外周血管介入耗材、结核病检测试剂进行</w:t>
      </w:r>
      <w:r>
        <w:rPr>
          <w:rFonts w:hint="eastAsia"/>
          <w:color w:val="auto"/>
          <w:sz w:val="28"/>
          <w:szCs w:val="28"/>
          <w:lang w:eastAsia="zh-CN"/>
        </w:rPr>
        <w:t>院内询价采购，并对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口腔科部分医用耗材进行二次公告。</w:t>
      </w:r>
      <w:r>
        <w:rPr>
          <w:rFonts w:hint="eastAsia"/>
          <w:color w:val="auto"/>
          <w:sz w:val="28"/>
          <w:szCs w:val="28"/>
        </w:rPr>
        <w:t>请符合下列条件并有</w:t>
      </w:r>
      <w:r>
        <w:rPr>
          <w:rFonts w:hint="eastAsia"/>
          <w:color w:val="auto"/>
          <w:sz w:val="28"/>
          <w:szCs w:val="28"/>
          <w:lang w:eastAsia="zh-CN"/>
        </w:rPr>
        <w:t>意向</w:t>
      </w:r>
      <w:r>
        <w:rPr>
          <w:rFonts w:hint="eastAsia"/>
          <w:color w:val="auto"/>
          <w:sz w:val="28"/>
          <w:szCs w:val="28"/>
        </w:rPr>
        <w:t>的厂家或经销商</w:t>
      </w:r>
      <w:r>
        <w:rPr>
          <w:rFonts w:hint="eastAsia"/>
          <w:color w:val="auto"/>
          <w:sz w:val="28"/>
          <w:szCs w:val="28"/>
          <w:lang w:eastAsia="zh-CN"/>
        </w:rPr>
        <w:t>在公示期内</w:t>
      </w:r>
      <w:r>
        <w:rPr>
          <w:rFonts w:hint="eastAsia"/>
          <w:color w:val="auto"/>
          <w:sz w:val="28"/>
          <w:szCs w:val="28"/>
        </w:rPr>
        <w:t>将相关材料送到设备科。</w:t>
      </w:r>
      <w:r>
        <w:rPr>
          <w:rFonts w:hint="eastAsia"/>
          <w:color w:val="auto"/>
          <w:sz w:val="28"/>
          <w:szCs w:val="28"/>
          <w:lang w:eastAsia="zh-CN"/>
        </w:rPr>
        <w:t>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不足三家，两家报名改为竞争性谈判，一家报名则改为议价。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采购内容</w:t>
      </w:r>
    </w:p>
    <w:tbl>
      <w:tblPr>
        <w:tblStyle w:val="4"/>
        <w:tblW w:w="8755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126"/>
        <w:gridCol w:w="2520"/>
        <w:gridCol w:w="791"/>
        <w:gridCol w:w="1803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控制价（元）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外周血管介入耗材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见附件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按需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报价不高于省药械阳光平台的价格及三明市中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结核分枝杆菌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rpoB基因和突变检测盒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用于结核病快速检测仪，设备品牌型号：美国赛沛 GX-IVR2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调拌头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口腔种植牙（二次公告）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硅橡胶枪</w:t>
            </w:r>
          </w:p>
        </w:tc>
        <w:tc>
          <w:tcPr>
            <w:tcW w:w="252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0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沪鸽硅橡胶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B套装</w:t>
            </w:r>
          </w:p>
        </w:tc>
        <w:tc>
          <w:tcPr>
            <w:tcW w:w="252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0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低温印模托盘</w:t>
            </w:r>
          </w:p>
        </w:tc>
        <w:tc>
          <w:tcPr>
            <w:tcW w:w="252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0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备注：以上项目分别采购。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二、报名要求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(报名时提供)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①项目医疗器械注册证书及附件有效复印件；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②生产厂家及投标方正规经营许可三证复印件；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③法人代表身份证复印件（或法人授权委托书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（需法人签字或盖章）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、被授权人身份证复印件）；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④提供产品的用户名单、供货发票及出库清单；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以上复印件加盖单位公章按序号装订成册,资料准备完整的投标人方可报名。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三、公示时间：2018年10月29日至2018年10月31日。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四、询价时间地点另行通知。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五、联系电话：0597-3131110；地址：上杭县医院后勤楼4楼404。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     上杭县医院 </w:t>
      </w:r>
    </w:p>
    <w:p>
      <w:pPr>
        <w:keepNext w:val="0"/>
        <w:keepLines w:val="0"/>
        <w:widowControl/>
        <w:suppressLineNumbers w:val="0"/>
        <w:shd w:val="clear" w:fill="FFFFFF"/>
        <w:ind w:firstLine="5880" w:firstLineChars="210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2018年10月29日</w:t>
      </w:r>
    </w:p>
    <w:p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hd w:val="clear" w:fill="FFFFFF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外周血管介入耗材</w:t>
      </w:r>
    </w:p>
    <w:tbl>
      <w:tblPr>
        <w:tblStyle w:val="4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793"/>
        <w:gridCol w:w="1374"/>
        <w:gridCol w:w="97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耗材名称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规格型号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生产厂家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价格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穿刺针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18G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22G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动脉鞘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4F、5F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微穿鞘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4F、5F、6F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导管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肝动脉导管（RH导管）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溶栓导管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引流导管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肠梗阻导管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C2导管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VER导管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眼镜蛇导管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Cobra导管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PIG导管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SIM导管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MPA导管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导丝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交换导丝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加强导丝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微导丝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亲水膜导丝（泥鳅导丝）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微导丝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微导管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栓塞剂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碘油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明胶海绵颗粒（300-500、500-700微克）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栓塞弹簧圈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栓塞微粒球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PVA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延长管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压力延长管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射频消融针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2cm及3cm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输液港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输液港中心静脉导管及附件（蝶形针）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0.9mm*25mm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优力抒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活检针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下腔静脉滤器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胆道引流导管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6F、7F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043" w:right="1689" w:bottom="1043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35F9B9"/>
    <w:multiLevelType w:val="singleLevel"/>
    <w:tmpl w:val="C235F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29CF"/>
    <w:rsid w:val="059A05EB"/>
    <w:rsid w:val="077D4D97"/>
    <w:rsid w:val="0A1B2ABA"/>
    <w:rsid w:val="0AD829C8"/>
    <w:rsid w:val="0B686F68"/>
    <w:rsid w:val="0D7933D6"/>
    <w:rsid w:val="0EE35E08"/>
    <w:rsid w:val="11B02084"/>
    <w:rsid w:val="11D652A5"/>
    <w:rsid w:val="14A3015C"/>
    <w:rsid w:val="14B33C80"/>
    <w:rsid w:val="15441EDB"/>
    <w:rsid w:val="17844CC8"/>
    <w:rsid w:val="1C0377AD"/>
    <w:rsid w:val="1C1E533B"/>
    <w:rsid w:val="1DB848F5"/>
    <w:rsid w:val="205E131D"/>
    <w:rsid w:val="24A52EE3"/>
    <w:rsid w:val="26A9569C"/>
    <w:rsid w:val="272631F1"/>
    <w:rsid w:val="276324C6"/>
    <w:rsid w:val="2809348E"/>
    <w:rsid w:val="28C04F83"/>
    <w:rsid w:val="2AD20E93"/>
    <w:rsid w:val="2B1659CA"/>
    <w:rsid w:val="2C1B3BD6"/>
    <w:rsid w:val="2D6C19CC"/>
    <w:rsid w:val="2F055B2E"/>
    <w:rsid w:val="2FED433D"/>
    <w:rsid w:val="302162FC"/>
    <w:rsid w:val="33E37DA6"/>
    <w:rsid w:val="3621608E"/>
    <w:rsid w:val="383C1CF8"/>
    <w:rsid w:val="39936176"/>
    <w:rsid w:val="39F24313"/>
    <w:rsid w:val="3BCC5775"/>
    <w:rsid w:val="3C2D189B"/>
    <w:rsid w:val="45C272A3"/>
    <w:rsid w:val="479450DA"/>
    <w:rsid w:val="47FA5ED4"/>
    <w:rsid w:val="482565A6"/>
    <w:rsid w:val="485738BC"/>
    <w:rsid w:val="4BFA6D6B"/>
    <w:rsid w:val="4E360078"/>
    <w:rsid w:val="55576390"/>
    <w:rsid w:val="55FF1416"/>
    <w:rsid w:val="58F91C4C"/>
    <w:rsid w:val="5D4A1269"/>
    <w:rsid w:val="5FCD673F"/>
    <w:rsid w:val="5FEA36E7"/>
    <w:rsid w:val="607B29C7"/>
    <w:rsid w:val="60A355ED"/>
    <w:rsid w:val="62AB5FCB"/>
    <w:rsid w:val="6E2D610D"/>
    <w:rsid w:val="6EAD1EBD"/>
    <w:rsid w:val="71681679"/>
    <w:rsid w:val="73E03C0D"/>
    <w:rsid w:val="76024BCA"/>
    <w:rsid w:val="778D5308"/>
    <w:rsid w:val="7D810582"/>
    <w:rsid w:val="7E9D0D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51"/>
    <w:basedOn w:val="2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6">
    <w:name w:val="font6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7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6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4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13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11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0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21"/>
    <w:basedOn w:val="2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6">
    <w:name w:val="font41"/>
    <w:basedOn w:val="2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17">
    <w:name w:val="font9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2018-09-10T01:39:00Z</cp:lastPrinted>
  <dcterms:modified xsi:type="dcterms:W3CDTF">2018-10-30T06:41:16Z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